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5" w:rsidRPr="000F3FCA" w:rsidRDefault="006168C0" w:rsidP="009B11F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717B71" w:rsidRPr="000F3FCA">
        <w:rPr>
          <w:b/>
          <w:sz w:val="24"/>
          <w:szCs w:val="24"/>
        </w:rPr>
        <w:t>.11</w:t>
      </w:r>
      <w:r w:rsidR="009B11F5" w:rsidRPr="000F3FCA">
        <w:rPr>
          <w:b/>
          <w:sz w:val="24"/>
          <w:szCs w:val="24"/>
        </w:rPr>
        <w:t>.2020 r.</w:t>
      </w:r>
    </w:p>
    <w:p w:rsidR="009B11F5" w:rsidRPr="000F3FCA" w:rsidRDefault="009B11F5" w:rsidP="009B11F5">
      <w:pPr>
        <w:spacing w:line="240" w:lineRule="auto"/>
        <w:jc w:val="both"/>
        <w:rPr>
          <w:b/>
          <w:sz w:val="24"/>
          <w:szCs w:val="24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</w:t>
      </w:r>
      <w:r w:rsidR="00F61276" w:rsidRPr="000F3FCA">
        <w:rPr>
          <w:b/>
          <w:sz w:val="24"/>
          <w:szCs w:val="24"/>
        </w:rPr>
        <w:t>I</w:t>
      </w:r>
      <w:r w:rsidR="00456E30">
        <w:rPr>
          <w:b/>
          <w:sz w:val="24"/>
          <w:szCs w:val="24"/>
        </w:rPr>
        <w:t xml:space="preserve"> </w:t>
      </w:r>
      <w:proofErr w:type="spellStart"/>
      <w:r w:rsidR="00456E30">
        <w:rPr>
          <w:b/>
          <w:sz w:val="24"/>
          <w:szCs w:val="24"/>
        </w:rPr>
        <w:t>tl</w:t>
      </w:r>
      <w:proofErr w:type="spellEnd"/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</w:t>
      </w:r>
      <w:proofErr w:type="spellStart"/>
      <w:r w:rsidRPr="000F3FCA">
        <w:rPr>
          <w:b/>
          <w:sz w:val="24"/>
          <w:szCs w:val="24"/>
        </w:rPr>
        <w:t>przyprodukcyjne</w:t>
      </w:r>
      <w:proofErr w:type="spellEnd"/>
      <w:r w:rsidRPr="000F3FCA">
        <w:rPr>
          <w:b/>
          <w:sz w:val="24"/>
          <w:szCs w:val="24"/>
        </w:rPr>
        <w:t xml:space="preserve">, </w:t>
      </w:r>
      <w:r w:rsidR="00456E30">
        <w:rPr>
          <w:b/>
          <w:sz w:val="24"/>
          <w:szCs w:val="24"/>
        </w:rPr>
        <w:t xml:space="preserve">           </w:t>
      </w:r>
      <w:r w:rsidR="0013753A">
        <w:rPr>
          <w:b/>
          <w:sz w:val="24"/>
          <w:szCs w:val="24"/>
        </w:rPr>
        <w:t xml:space="preserve"> </w:t>
      </w:r>
      <w:r w:rsidRPr="000F3FCA">
        <w:rPr>
          <w:sz w:val="24"/>
          <w:szCs w:val="24"/>
        </w:rPr>
        <w:t xml:space="preserve">temat </w:t>
      </w:r>
      <w:r w:rsidRPr="000F3FCA">
        <w:rPr>
          <w:b/>
          <w:sz w:val="24"/>
          <w:szCs w:val="24"/>
        </w:rPr>
        <w:t>– „</w:t>
      </w:r>
      <w:r w:rsidR="009A4A89" w:rsidRPr="000F3FCA">
        <w:rPr>
          <w:b/>
          <w:sz w:val="24"/>
          <w:szCs w:val="24"/>
        </w:rPr>
        <w:t>Magazyn</w:t>
      </w:r>
      <w:r w:rsidR="0035311F" w:rsidRPr="000F3FCA">
        <w:rPr>
          <w:b/>
          <w:sz w:val="24"/>
          <w:szCs w:val="24"/>
        </w:rPr>
        <w:t>owa infrastruktura transportowa</w:t>
      </w:r>
      <w:r w:rsidR="00354404">
        <w:rPr>
          <w:b/>
          <w:sz w:val="24"/>
          <w:szCs w:val="24"/>
        </w:rPr>
        <w:t xml:space="preserve"> – ciąg dalszy</w:t>
      </w:r>
      <w:r w:rsidRPr="000F3FCA">
        <w:rPr>
          <w:b/>
          <w:sz w:val="24"/>
          <w:szCs w:val="24"/>
        </w:rPr>
        <w:t xml:space="preserve">” </w:t>
      </w:r>
    </w:p>
    <w:p w:rsidR="009B11F5" w:rsidRPr="000F3FCA" w:rsidRDefault="009B11F5" w:rsidP="009B11F5">
      <w:pPr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35311F" w:rsidRPr="0014362F" w:rsidRDefault="0035311F" w:rsidP="0035311F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 W razie wątpliwości, niejasności, ewentualnych pytań proszę kontaktować się ze mną za pomocą skrzynki e-mail</w:t>
      </w:r>
      <w:r w:rsidRPr="00246D39">
        <w:rPr>
          <w:b/>
          <w:i/>
          <w:sz w:val="24"/>
          <w:szCs w:val="24"/>
        </w:rPr>
        <w:t xml:space="preserve">: </w:t>
      </w:r>
      <w:hyperlink r:id="rId5" w:history="1">
        <w:r w:rsidRPr="00314D2C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 .</w:t>
      </w:r>
    </w:p>
    <w:p w:rsidR="009B11F5" w:rsidRPr="00054F03" w:rsidRDefault="009B11F5" w:rsidP="009B11F5">
      <w:pPr>
        <w:spacing w:after="0"/>
        <w:ind w:firstLine="708"/>
        <w:jc w:val="both"/>
        <w:rPr>
          <w:b/>
          <w:i/>
          <w:sz w:val="24"/>
          <w:szCs w:val="24"/>
        </w:rPr>
      </w:pPr>
    </w:p>
    <w:p w:rsidR="00EE1C3B" w:rsidRPr="00DA1C96" w:rsidRDefault="009B11F5" w:rsidP="00DA1C96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</w:t>
      </w:r>
      <w:r w:rsidR="00DB00E9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Pozdrawiam i życzę owocnej pracy. Arkadiusz Załęski.</w:t>
      </w:r>
    </w:p>
    <w:p w:rsidR="00354404" w:rsidRPr="00354404" w:rsidRDefault="00354404" w:rsidP="0035440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54404">
        <w:rPr>
          <w:rFonts w:cstheme="minorHAnsi"/>
          <w:color w:val="000000"/>
          <w:sz w:val="24"/>
          <w:szCs w:val="24"/>
        </w:rPr>
        <w:t>Biorąc pod uwagę konstrukcję środków transportu, można je podzielić na:</w:t>
      </w:r>
    </w:p>
    <w:p w:rsidR="00354404" w:rsidRDefault="00354404" w:rsidP="0035440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54404">
        <w:rPr>
          <w:rFonts w:cstheme="minorHAnsi"/>
          <w:color w:val="000000"/>
          <w:sz w:val="24"/>
          <w:szCs w:val="24"/>
        </w:rPr>
        <w:t>urządzenia transportowe (dźwignice, przenośniki, ładowarki, manipulatory</w:t>
      </w:r>
      <w:r>
        <w:rPr>
          <w:rFonts w:cstheme="minorHAnsi"/>
          <w:color w:val="000000"/>
          <w:sz w:val="24"/>
          <w:szCs w:val="24"/>
        </w:rPr>
        <w:t xml:space="preserve">, </w:t>
      </w:r>
      <w:r w:rsidRPr="00354404">
        <w:rPr>
          <w:rFonts w:cstheme="minorHAnsi"/>
          <w:color w:val="000000"/>
          <w:sz w:val="24"/>
          <w:szCs w:val="24"/>
        </w:rPr>
        <w:t>wózki</w:t>
      </w:r>
      <w:r>
        <w:rPr>
          <w:rFonts w:cstheme="minorHAnsi"/>
          <w:color w:val="000000"/>
          <w:sz w:val="24"/>
          <w:szCs w:val="24"/>
        </w:rPr>
        <w:t xml:space="preserve">, które </w:t>
      </w:r>
      <w:r w:rsidR="00C44D17">
        <w:rPr>
          <w:rFonts w:cstheme="minorHAnsi"/>
          <w:color w:val="000000"/>
          <w:sz w:val="24"/>
          <w:szCs w:val="24"/>
        </w:rPr>
        <w:t xml:space="preserve">ze względu </w:t>
      </w:r>
      <w:r>
        <w:rPr>
          <w:rFonts w:cstheme="minorHAnsi"/>
          <w:color w:val="000000"/>
          <w:sz w:val="24"/>
          <w:szCs w:val="24"/>
        </w:rPr>
        <w:t>na rodzaj napędu można podzielić na:</w:t>
      </w:r>
      <w:r w:rsidRPr="00354404">
        <w:rPr>
          <w:rFonts w:cstheme="minorHAnsi"/>
          <w:color w:val="000000"/>
          <w:sz w:val="24"/>
          <w:szCs w:val="24"/>
        </w:rPr>
        <w:t xml:space="preserve"> ręczne, zmechanizowane, doczepne)</w:t>
      </w:r>
      <w:r>
        <w:rPr>
          <w:rFonts w:cstheme="minorHAnsi"/>
          <w:color w:val="000000"/>
          <w:sz w:val="24"/>
          <w:szCs w:val="24"/>
        </w:rPr>
        <w:t>,</w:t>
      </w:r>
    </w:p>
    <w:p w:rsidR="00354404" w:rsidRPr="00354404" w:rsidRDefault="00354404" w:rsidP="0035440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54404">
        <w:rPr>
          <w:rFonts w:cstheme="minorHAnsi"/>
          <w:color w:val="000000"/>
          <w:sz w:val="24"/>
          <w:szCs w:val="24"/>
        </w:rPr>
        <w:t>urządzenia pomocnicze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54404">
        <w:rPr>
          <w:rFonts w:cstheme="minorHAnsi"/>
          <w:color w:val="000000"/>
          <w:sz w:val="24"/>
          <w:szCs w:val="24"/>
        </w:rPr>
        <w:t>(kontenery,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54404">
        <w:rPr>
          <w:rFonts w:cstheme="minorHAnsi"/>
          <w:color w:val="000000"/>
          <w:sz w:val="24"/>
          <w:szCs w:val="24"/>
        </w:rPr>
        <w:t>palety,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54404">
        <w:rPr>
          <w:rFonts w:cstheme="minorHAnsi"/>
          <w:color w:val="000000"/>
          <w:sz w:val="24"/>
          <w:szCs w:val="24"/>
        </w:rPr>
        <w:t>pojemniki,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54404">
        <w:rPr>
          <w:rFonts w:cstheme="minorHAnsi"/>
          <w:color w:val="000000"/>
          <w:sz w:val="24"/>
          <w:szCs w:val="24"/>
        </w:rPr>
        <w:t>podajniki palet,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54404">
        <w:rPr>
          <w:rFonts w:cstheme="minorHAnsi"/>
          <w:color w:val="000000"/>
          <w:sz w:val="24"/>
          <w:szCs w:val="24"/>
        </w:rPr>
        <w:t>zawiesia</w:t>
      </w:r>
      <w:r>
        <w:rPr>
          <w:rFonts w:cstheme="minorHAnsi"/>
          <w:color w:val="000000"/>
          <w:sz w:val="24"/>
          <w:szCs w:val="24"/>
        </w:rPr>
        <w:t>)</w:t>
      </w:r>
      <w:r w:rsidRPr="00354404">
        <w:rPr>
          <w:rFonts w:cstheme="minorHAnsi"/>
          <w:color w:val="000000"/>
          <w:sz w:val="24"/>
          <w:szCs w:val="24"/>
        </w:rPr>
        <w:t>.</w:t>
      </w:r>
    </w:p>
    <w:p w:rsidR="00F6690B" w:rsidRDefault="00A44A4F" w:rsidP="00A44A4F">
      <w:pPr>
        <w:autoSpaceDE w:val="0"/>
        <w:autoSpaceDN w:val="0"/>
        <w:adjustRightInd w:val="0"/>
        <w:spacing w:after="0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733703" cy="187783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368" cy="1885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A4F" w:rsidRPr="00A44A4F" w:rsidRDefault="00A44A4F" w:rsidP="00A44A4F">
      <w:pPr>
        <w:tabs>
          <w:tab w:val="left" w:pos="4052"/>
        </w:tabs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A44A4F">
        <w:rPr>
          <w:rFonts w:eastAsia="ScalaSansPro-Bold" w:cstheme="minorHAnsi"/>
          <w:b/>
          <w:bCs/>
          <w:color w:val="00B050"/>
          <w:sz w:val="24"/>
          <w:szCs w:val="24"/>
        </w:rPr>
        <w:t>Wózki zmechanizowane</w:t>
      </w:r>
      <w:r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A44A4F">
        <w:rPr>
          <w:rFonts w:eastAsia="ScalaSansPro-Bold" w:cstheme="minorHAnsi"/>
          <w:color w:val="000000"/>
          <w:sz w:val="24"/>
          <w:szCs w:val="24"/>
        </w:rPr>
        <w:t>dzieli się na:</w:t>
      </w:r>
      <w:r>
        <w:rPr>
          <w:rFonts w:eastAsia="ScalaSansPro-Bold" w:cstheme="minorHAnsi"/>
          <w:color w:val="000000"/>
          <w:sz w:val="24"/>
          <w:szCs w:val="24"/>
        </w:rPr>
        <w:tab/>
      </w:r>
    </w:p>
    <w:p w:rsidR="00A44A4F" w:rsidRDefault="00A44A4F" w:rsidP="00A44A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>specjalizowan</w:t>
      </w:r>
      <w:r w:rsidRPr="00A44A4F">
        <w:rPr>
          <w:rFonts w:eastAsia="ScalaSansPro-Bold" w:cstheme="minorHAnsi"/>
          <w:color w:val="000000"/>
          <w:sz w:val="24"/>
          <w:szCs w:val="24"/>
        </w:rPr>
        <w:t>e – przystosowane do przemieszcz</w:t>
      </w:r>
      <w:r>
        <w:rPr>
          <w:rFonts w:eastAsia="ScalaSansPro-Bold" w:cstheme="minorHAnsi"/>
          <w:color w:val="000000"/>
          <w:sz w:val="24"/>
          <w:szCs w:val="24"/>
        </w:rPr>
        <w:t>ania określonych typów ładunków;</w:t>
      </w:r>
    </w:p>
    <w:p w:rsidR="00A44A4F" w:rsidRDefault="00A44A4F" w:rsidP="00A44A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A44A4F">
        <w:rPr>
          <w:rFonts w:eastAsia="ScalaSansPro-Bold" w:cstheme="minorHAnsi"/>
          <w:color w:val="000000"/>
          <w:sz w:val="24"/>
          <w:szCs w:val="24"/>
        </w:rPr>
        <w:t>platformy nadładowne – przeznaczone do przewożenia ładunków, których powierzchnię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44A4F">
        <w:rPr>
          <w:rFonts w:eastAsia="ScalaSansPro-Bold" w:cstheme="minorHAnsi"/>
          <w:color w:val="000000"/>
          <w:sz w:val="24"/>
          <w:szCs w:val="24"/>
        </w:rPr>
        <w:t>ładunk</w:t>
      </w:r>
      <w:r>
        <w:rPr>
          <w:rFonts w:eastAsia="ScalaSansPro-Bold" w:cstheme="minorHAnsi"/>
          <w:color w:val="000000"/>
          <w:sz w:val="24"/>
          <w:szCs w:val="24"/>
        </w:rPr>
        <w:t>ową stanowi płyta lub platforma;</w:t>
      </w:r>
    </w:p>
    <w:p w:rsidR="00A44A4F" w:rsidRDefault="00A44A4F" w:rsidP="00A44A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A44A4F">
        <w:rPr>
          <w:rFonts w:eastAsia="ScalaSansPro-Bold" w:cstheme="minorHAnsi"/>
          <w:color w:val="000000"/>
          <w:sz w:val="24"/>
          <w:szCs w:val="24"/>
        </w:rPr>
        <w:t>podnoszące;</w:t>
      </w:r>
    </w:p>
    <w:p w:rsidR="00A44A4F" w:rsidRDefault="00A44A4F" w:rsidP="00A44A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A44A4F">
        <w:rPr>
          <w:rFonts w:eastAsia="ScalaSansPro-Bold" w:cstheme="minorHAnsi"/>
          <w:color w:val="000000"/>
          <w:sz w:val="24"/>
          <w:szCs w:val="24"/>
        </w:rPr>
        <w:t>ciągnikowe – wózki jezdniowe z przymocowanym złączem zaczepowym;</w:t>
      </w:r>
    </w:p>
    <w:p w:rsidR="00A44A4F" w:rsidRDefault="00A44A4F" w:rsidP="00A44A4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A44A4F">
        <w:rPr>
          <w:rFonts w:eastAsia="ScalaSansPro-Bold" w:cstheme="minorHAnsi"/>
          <w:color w:val="000000"/>
          <w:sz w:val="24"/>
          <w:szCs w:val="24"/>
        </w:rPr>
        <w:t>pchające – z przymocowaną płytą sprężystą.</w:t>
      </w:r>
    </w:p>
    <w:p w:rsidR="00A44A4F" w:rsidRPr="00A44A4F" w:rsidRDefault="00A44A4F" w:rsidP="00A44A4F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765601" cy="2346349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863" cy="2354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4A4F" w:rsidRPr="00A44A4F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D5E"/>
    <w:multiLevelType w:val="hybridMultilevel"/>
    <w:tmpl w:val="842E6560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E54A5"/>
    <w:multiLevelType w:val="hybridMultilevel"/>
    <w:tmpl w:val="2DD825F8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56851F4"/>
    <w:multiLevelType w:val="hybridMultilevel"/>
    <w:tmpl w:val="A5F2E13E"/>
    <w:lvl w:ilvl="0" w:tplc="C0703FE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C5963"/>
    <w:multiLevelType w:val="hybridMultilevel"/>
    <w:tmpl w:val="EC60A2B8"/>
    <w:lvl w:ilvl="0" w:tplc="0415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304C067E"/>
    <w:multiLevelType w:val="hybridMultilevel"/>
    <w:tmpl w:val="79482D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96CCD"/>
    <w:multiLevelType w:val="hybridMultilevel"/>
    <w:tmpl w:val="76143C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6B7EC9"/>
    <w:multiLevelType w:val="hybridMultilevel"/>
    <w:tmpl w:val="4D7E58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A1D9D"/>
    <w:multiLevelType w:val="hybridMultilevel"/>
    <w:tmpl w:val="B344C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A4E95"/>
    <w:multiLevelType w:val="hybridMultilevel"/>
    <w:tmpl w:val="EC10E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1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12"/>
  </w:num>
  <w:num w:numId="10">
    <w:abstractNumId w:val="6"/>
  </w:num>
  <w:num w:numId="11">
    <w:abstractNumId w:val="9"/>
  </w:num>
  <w:num w:numId="12">
    <w:abstractNumId w:val="0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130EB"/>
    <w:rsid w:val="00093C32"/>
    <w:rsid w:val="00094343"/>
    <w:rsid w:val="000B6C8C"/>
    <w:rsid w:val="000D7F2C"/>
    <w:rsid w:val="000F14C5"/>
    <w:rsid w:val="000F3FCA"/>
    <w:rsid w:val="0013753A"/>
    <w:rsid w:val="001D7643"/>
    <w:rsid w:val="002441F3"/>
    <w:rsid w:val="0035311F"/>
    <w:rsid w:val="00354404"/>
    <w:rsid w:val="003D7EE0"/>
    <w:rsid w:val="00456E30"/>
    <w:rsid w:val="00494FD1"/>
    <w:rsid w:val="004C06B1"/>
    <w:rsid w:val="004E0D13"/>
    <w:rsid w:val="006168C0"/>
    <w:rsid w:val="006D0BC0"/>
    <w:rsid w:val="00717B71"/>
    <w:rsid w:val="00801EF3"/>
    <w:rsid w:val="00815588"/>
    <w:rsid w:val="00901D35"/>
    <w:rsid w:val="00976D7F"/>
    <w:rsid w:val="009A4A89"/>
    <w:rsid w:val="009B11F5"/>
    <w:rsid w:val="00A03187"/>
    <w:rsid w:val="00A44A4F"/>
    <w:rsid w:val="00AD0103"/>
    <w:rsid w:val="00C239EA"/>
    <w:rsid w:val="00C44D17"/>
    <w:rsid w:val="00C55A05"/>
    <w:rsid w:val="00D11520"/>
    <w:rsid w:val="00D25DFE"/>
    <w:rsid w:val="00D94CDD"/>
    <w:rsid w:val="00DA1C96"/>
    <w:rsid w:val="00DB00E9"/>
    <w:rsid w:val="00DB36DC"/>
    <w:rsid w:val="00E71D81"/>
    <w:rsid w:val="00EE1C3B"/>
    <w:rsid w:val="00EE45C3"/>
    <w:rsid w:val="00F0679C"/>
    <w:rsid w:val="00F45360"/>
    <w:rsid w:val="00F57A87"/>
    <w:rsid w:val="00F61276"/>
    <w:rsid w:val="00F6690B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33</cp:revision>
  <dcterms:created xsi:type="dcterms:W3CDTF">2020-10-20T16:36:00Z</dcterms:created>
  <dcterms:modified xsi:type="dcterms:W3CDTF">2020-11-12T09:47:00Z</dcterms:modified>
</cp:coreProperties>
</file>