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F3" w:rsidRPr="00992B31" w:rsidRDefault="00BD4347" w:rsidP="004D09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4D09F3">
        <w:rPr>
          <w:b/>
          <w:sz w:val="24"/>
          <w:szCs w:val="24"/>
        </w:rPr>
        <w:t>.02.2021</w:t>
      </w:r>
      <w:r w:rsidR="004D09F3" w:rsidRPr="00992B31">
        <w:rPr>
          <w:b/>
          <w:sz w:val="24"/>
          <w:szCs w:val="24"/>
        </w:rPr>
        <w:t xml:space="preserve"> r.</w:t>
      </w:r>
    </w:p>
    <w:p w:rsidR="004D09F3" w:rsidRPr="00766EE4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>–</w:t>
      </w:r>
      <w:r w:rsidR="009A7E0B">
        <w:rPr>
          <w:rFonts w:eastAsia="ScalaSansPro-Bold" w:cstheme="minorHAnsi"/>
          <w:b/>
          <w:bCs/>
          <w:i/>
          <w:sz w:val="24"/>
          <w:szCs w:val="24"/>
        </w:rPr>
        <w:t xml:space="preserve"> </w:t>
      </w:r>
      <w:r w:rsidR="004851A3" w:rsidRPr="004851A3">
        <w:rPr>
          <w:rFonts w:eastAsia="ScalaSansPro-Bold" w:cstheme="minorHAnsi"/>
          <w:b/>
          <w:bCs/>
          <w:i/>
          <w:sz w:val="24"/>
          <w:szCs w:val="24"/>
        </w:rPr>
        <w:t>Wskaźniki efektywności gospodarki magazynowej</w:t>
      </w:r>
    </w:p>
    <w:p w:rsidR="004D09F3" w:rsidRPr="0092175B" w:rsidRDefault="004D09F3" w:rsidP="004D09F3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4D09F3" w:rsidRDefault="004D09F3" w:rsidP="004D09F3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4D09F3" w:rsidRPr="0092175B" w:rsidRDefault="004D09F3" w:rsidP="004D09F3">
      <w:pPr>
        <w:spacing w:after="0" w:line="240" w:lineRule="auto"/>
        <w:rPr>
          <w:b/>
          <w:i/>
          <w:sz w:val="12"/>
          <w:szCs w:val="12"/>
        </w:rPr>
      </w:pPr>
    </w:p>
    <w:p w:rsidR="004D09F3" w:rsidRPr="002A3736" w:rsidRDefault="004D09F3" w:rsidP="004D09F3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</w:t>
      </w:r>
      <w:r w:rsidR="009A7E0B">
        <w:rPr>
          <w:b/>
          <w:i/>
          <w:sz w:val="24"/>
          <w:szCs w:val="24"/>
        </w:rPr>
        <w:t xml:space="preserve">oszę zapoznać się z </w:t>
      </w:r>
      <w:r w:rsidR="0001179F">
        <w:rPr>
          <w:b/>
          <w:i/>
          <w:sz w:val="24"/>
          <w:szCs w:val="24"/>
        </w:rPr>
        <w:t>zamieszczoną</w:t>
      </w:r>
      <w:r w:rsidR="0067447C">
        <w:rPr>
          <w:b/>
          <w:i/>
          <w:sz w:val="24"/>
          <w:szCs w:val="24"/>
        </w:rPr>
        <w:t xml:space="preserve"> poniżej notatką. Proszę przepisać notatkę</w:t>
      </w:r>
      <w:r w:rsidRPr="00992B31">
        <w:rPr>
          <w:b/>
          <w:i/>
          <w:sz w:val="24"/>
          <w:szCs w:val="24"/>
        </w:rPr>
        <w:t xml:space="preserve"> </w:t>
      </w:r>
      <w:r w:rsidR="009A7E0B">
        <w:rPr>
          <w:b/>
          <w:i/>
          <w:sz w:val="24"/>
          <w:szCs w:val="24"/>
        </w:rPr>
        <w:t xml:space="preserve">                     </w:t>
      </w:r>
      <w:r w:rsidRPr="00992B31">
        <w:rPr>
          <w:b/>
          <w:i/>
          <w:sz w:val="24"/>
          <w:szCs w:val="24"/>
        </w:rPr>
        <w:t>do zeszytu (e</w:t>
      </w:r>
      <w:r w:rsidR="009A7E0B">
        <w:rPr>
          <w:b/>
          <w:i/>
          <w:sz w:val="24"/>
          <w:szCs w:val="24"/>
        </w:rPr>
        <w:t>w</w:t>
      </w:r>
      <w:r w:rsidR="0067447C">
        <w:rPr>
          <w:b/>
          <w:i/>
          <w:sz w:val="24"/>
          <w:szCs w:val="24"/>
        </w:rPr>
        <w:t xml:space="preserve">entualnie wydrukować i wkleić).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67447C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  <w:r w:rsidR="002A3736">
        <w:rPr>
          <w:b/>
          <w:i/>
          <w:sz w:val="24"/>
          <w:szCs w:val="24"/>
        </w:rPr>
        <w:t xml:space="preserve"> </w:t>
      </w:r>
      <w:r w:rsidR="002A3736" w:rsidRPr="002A3736">
        <w:rPr>
          <w:b/>
          <w:i/>
          <w:color w:val="FF0000"/>
          <w:sz w:val="24"/>
          <w:szCs w:val="24"/>
        </w:rPr>
        <w:t>Jednocześnie zapowiadam sprawdzian z GM na 26.02.2021 r.</w:t>
      </w:r>
      <w:r w:rsidR="002A3736">
        <w:rPr>
          <w:b/>
          <w:i/>
          <w:color w:val="FF0000"/>
          <w:sz w:val="24"/>
          <w:szCs w:val="24"/>
        </w:rPr>
        <w:t xml:space="preserve"> </w:t>
      </w:r>
      <w:r w:rsidR="002A3736" w:rsidRPr="002A3736">
        <w:rPr>
          <w:b/>
          <w:i/>
          <w:color w:val="FF0000"/>
          <w:sz w:val="24"/>
          <w:szCs w:val="24"/>
        </w:rPr>
        <w:t xml:space="preserve">Zakres materiału na sprawdzian: od tematu – </w:t>
      </w:r>
      <w:r w:rsidR="002A3736" w:rsidRPr="002A3736">
        <w:rPr>
          <w:rFonts w:eastAsia="Times New Roman" w:cstheme="minorHAnsi"/>
          <w:b/>
          <w:i/>
          <w:color w:val="FF0000"/>
          <w:sz w:val="24"/>
          <w:szCs w:val="24"/>
        </w:rPr>
        <w:t>Potrzeby właściwego zagospodarowania przestrzeni magazynowej</w:t>
      </w:r>
      <w:r w:rsidR="00456FD1">
        <w:rPr>
          <w:rFonts w:eastAsia="Times New Roman" w:cstheme="minorHAnsi"/>
          <w:b/>
          <w:i/>
          <w:color w:val="FF0000"/>
          <w:sz w:val="24"/>
          <w:szCs w:val="24"/>
        </w:rPr>
        <w:t>,</w:t>
      </w:r>
      <w:r w:rsidR="002A3736" w:rsidRPr="002A3736">
        <w:rPr>
          <w:rFonts w:cstheme="minorHAnsi"/>
          <w:b/>
          <w:i/>
          <w:color w:val="FF0000"/>
          <w:sz w:val="24"/>
          <w:szCs w:val="24"/>
        </w:rPr>
        <w:t xml:space="preserve"> do </w:t>
      </w:r>
      <w:r w:rsidR="002A3736" w:rsidRPr="002A3736">
        <w:rPr>
          <w:b/>
          <w:i/>
          <w:color w:val="FF0000"/>
          <w:sz w:val="24"/>
          <w:szCs w:val="24"/>
        </w:rPr>
        <w:t>tematu – Wskaźniki efektywności gospodarki magazynowej.</w:t>
      </w:r>
    </w:p>
    <w:p w:rsidR="004D09F3" w:rsidRPr="003A48A4" w:rsidRDefault="004D09F3" w:rsidP="004D09F3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D09F3" w:rsidRPr="00A92B10" w:rsidRDefault="004D09F3" w:rsidP="004D09F3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BD4347" w:rsidRDefault="004D09F3" w:rsidP="00BD4347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BD4347" w:rsidRDefault="00BD4347" w:rsidP="00B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BD4347">
        <w:rPr>
          <w:rFonts w:cstheme="minorHAnsi"/>
          <w:color w:val="000000"/>
          <w:sz w:val="24"/>
          <w:szCs w:val="24"/>
        </w:rPr>
        <w:t xml:space="preserve">Kolejnym wskaźnikiem finansowym gospodarki magazynowej jest </w:t>
      </w:r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rentowność</w:t>
      </w:r>
      <w:r>
        <w:rPr>
          <w:rFonts w:cstheme="minorHAnsi"/>
          <w:color w:val="000000"/>
          <w:sz w:val="24"/>
          <w:szCs w:val="24"/>
        </w:rPr>
        <w:t xml:space="preserve">. </w:t>
      </w:r>
      <w:r w:rsidRPr="00BD4347">
        <w:rPr>
          <w:rFonts w:cstheme="minorHAnsi"/>
          <w:color w:val="000000"/>
          <w:sz w:val="24"/>
          <w:szCs w:val="24"/>
        </w:rPr>
        <w:t>Rentowność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>magazynu bada się za pomocą wskaźników takich, jak:</w:t>
      </w:r>
    </w:p>
    <w:p w:rsidR="00BD4347" w:rsidRDefault="00BD4347" w:rsidP="00BD43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4347">
        <w:rPr>
          <w:rFonts w:cstheme="minorHAnsi"/>
          <w:color w:val="000000"/>
          <w:sz w:val="24"/>
          <w:szCs w:val="24"/>
        </w:rPr>
        <w:t>stosunek poniesionych nakładów do osiągniętych zysków,</w:t>
      </w:r>
    </w:p>
    <w:p w:rsidR="00BD4347" w:rsidRDefault="00BD4347" w:rsidP="00BD43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4347">
        <w:rPr>
          <w:rFonts w:cstheme="minorHAnsi"/>
          <w:color w:val="000000"/>
          <w:sz w:val="24"/>
          <w:szCs w:val="24"/>
        </w:rPr>
        <w:t>wskaźnik zyskowności (rentowności) sprzedaży (</w:t>
      </w:r>
      <w:proofErr w:type="spellStart"/>
      <w:r w:rsidRPr="00BD4347">
        <w:rPr>
          <w:rFonts w:cstheme="minorHAnsi"/>
          <w:i/>
          <w:iCs/>
          <w:color w:val="000000"/>
          <w:sz w:val="24"/>
          <w:szCs w:val="24"/>
        </w:rPr>
        <w:t>Wz</w:t>
      </w:r>
      <w:proofErr w:type="spellEnd"/>
      <w:r w:rsidRPr="00BD4347">
        <w:rPr>
          <w:rFonts w:cstheme="minorHAnsi"/>
          <w:color w:val="000000"/>
          <w:sz w:val="24"/>
          <w:szCs w:val="24"/>
        </w:rPr>
        <w:t>),</w:t>
      </w:r>
    </w:p>
    <w:p w:rsidR="00BD4347" w:rsidRDefault="00BD4347" w:rsidP="00BD43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4347">
        <w:rPr>
          <w:rFonts w:cstheme="minorHAnsi"/>
          <w:color w:val="000000"/>
          <w:sz w:val="24"/>
          <w:szCs w:val="24"/>
        </w:rPr>
        <w:t>wskaźnik zyskowności aktywów (</w:t>
      </w:r>
      <w:proofErr w:type="spellStart"/>
      <w:r w:rsidRPr="00BD4347">
        <w:rPr>
          <w:rFonts w:cstheme="minorHAnsi"/>
          <w:i/>
          <w:iCs/>
          <w:color w:val="000000"/>
          <w:sz w:val="24"/>
          <w:szCs w:val="24"/>
        </w:rPr>
        <w:t>Wza</w:t>
      </w:r>
      <w:proofErr w:type="spellEnd"/>
      <w:r w:rsidRPr="00BD4347">
        <w:rPr>
          <w:rFonts w:cstheme="minorHAnsi"/>
          <w:color w:val="000000"/>
          <w:sz w:val="24"/>
          <w:szCs w:val="24"/>
        </w:rPr>
        <w:t>),</w:t>
      </w:r>
    </w:p>
    <w:p w:rsidR="00BD4347" w:rsidRDefault="00BD4347" w:rsidP="00BD43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4347">
        <w:rPr>
          <w:rFonts w:cstheme="minorHAnsi"/>
          <w:color w:val="000000"/>
          <w:sz w:val="24"/>
          <w:szCs w:val="24"/>
        </w:rPr>
        <w:t>wskaźnik rentowności kapitału (</w:t>
      </w:r>
      <w:proofErr w:type="spellStart"/>
      <w:r w:rsidRPr="00BD4347">
        <w:rPr>
          <w:rFonts w:cstheme="minorHAnsi"/>
          <w:i/>
          <w:iCs/>
          <w:color w:val="000000"/>
          <w:sz w:val="24"/>
          <w:szCs w:val="24"/>
        </w:rPr>
        <w:t>Wrk</w:t>
      </w:r>
      <w:proofErr w:type="spellEnd"/>
      <w:r w:rsidRPr="00BD4347">
        <w:rPr>
          <w:rFonts w:cstheme="minorHAnsi"/>
          <w:color w:val="000000"/>
          <w:sz w:val="24"/>
          <w:szCs w:val="24"/>
        </w:rPr>
        <w:t>),</w:t>
      </w:r>
    </w:p>
    <w:p w:rsidR="00BD4347" w:rsidRDefault="00BD4347" w:rsidP="00BD43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4347">
        <w:rPr>
          <w:rFonts w:cstheme="minorHAnsi"/>
          <w:color w:val="000000"/>
          <w:sz w:val="24"/>
          <w:szCs w:val="24"/>
        </w:rPr>
        <w:t>wskaźnik rentowności nakładów (</w:t>
      </w:r>
      <w:proofErr w:type="spellStart"/>
      <w:r w:rsidRPr="00BD4347">
        <w:rPr>
          <w:rFonts w:cstheme="minorHAnsi"/>
          <w:i/>
          <w:iCs/>
          <w:color w:val="000000"/>
          <w:sz w:val="24"/>
          <w:szCs w:val="24"/>
        </w:rPr>
        <w:t>Wrn</w:t>
      </w:r>
      <w:proofErr w:type="spellEnd"/>
      <w:r w:rsidRPr="00BD4347">
        <w:rPr>
          <w:rFonts w:cstheme="minorHAnsi"/>
          <w:color w:val="000000"/>
          <w:sz w:val="24"/>
          <w:szCs w:val="24"/>
        </w:rPr>
        <w:t>),</w:t>
      </w:r>
    </w:p>
    <w:p w:rsidR="00BD4347" w:rsidRDefault="00BD4347" w:rsidP="00BD43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4347">
        <w:rPr>
          <w:rFonts w:cstheme="minorHAnsi"/>
          <w:color w:val="000000"/>
          <w:sz w:val="24"/>
          <w:szCs w:val="24"/>
        </w:rPr>
        <w:t>wskaźnik rentowności pracy (</w:t>
      </w:r>
      <w:proofErr w:type="spellStart"/>
      <w:r w:rsidRPr="00BD4347">
        <w:rPr>
          <w:rFonts w:cstheme="minorHAnsi"/>
          <w:i/>
          <w:iCs/>
          <w:color w:val="000000"/>
          <w:sz w:val="24"/>
          <w:szCs w:val="24"/>
        </w:rPr>
        <w:t>Wrp</w:t>
      </w:r>
      <w:proofErr w:type="spellEnd"/>
      <w:r w:rsidRPr="00BD4347">
        <w:rPr>
          <w:rFonts w:cstheme="minorHAnsi"/>
          <w:color w:val="000000"/>
          <w:sz w:val="24"/>
          <w:szCs w:val="24"/>
        </w:rPr>
        <w:t>),</w:t>
      </w:r>
    </w:p>
    <w:p w:rsidR="00BD4347" w:rsidRPr="00BD4347" w:rsidRDefault="00BD4347" w:rsidP="00BD43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4347">
        <w:rPr>
          <w:rFonts w:cstheme="minorHAnsi"/>
          <w:color w:val="000000"/>
          <w:sz w:val="24"/>
          <w:szCs w:val="24"/>
        </w:rPr>
        <w:t>wskaźnik rentowności handlu (</w:t>
      </w:r>
      <w:proofErr w:type="spellStart"/>
      <w:r w:rsidRPr="00BD4347">
        <w:rPr>
          <w:rFonts w:cstheme="minorHAnsi"/>
          <w:i/>
          <w:iCs/>
          <w:color w:val="000000"/>
          <w:sz w:val="24"/>
          <w:szCs w:val="24"/>
        </w:rPr>
        <w:t>Wrh</w:t>
      </w:r>
      <w:proofErr w:type="spellEnd"/>
      <w:r w:rsidRPr="00BD4347">
        <w:rPr>
          <w:rFonts w:cstheme="minorHAnsi"/>
          <w:color w:val="000000"/>
          <w:sz w:val="24"/>
          <w:szCs w:val="24"/>
        </w:rPr>
        <w:t>).</w:t>
      </w:r>
    </w:p>
    <w:p w:rsidR="00BD4347" w:rsidRDefault="00BD4347" w:rsidP="00B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4347">
        <w:rPr>
          <w:rFonts w:cstheme="minorHAnsi"/>
          <w:color w:val="000000"/>
          <w:sz w:val="24"/>
          <w:szCs w:val="24"/>
        </w:rPr>
        <w:t>Na efektywność gospodarki magazynowej wpływa nie tylko sytuacja przedsiębiorstwa,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>lecz także ogół tzw. okoliczności zewnętrznych. Słaba koniunktura na danym rynku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>zmniejsza efektywność gospodarki magazynowej. Efektywne wykorzystanie magazynu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 xml:space="preserve">polega </w:t>
      </w: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Pr="00BD4347">
        <w:rPr>
          <w:rFonts w:cstheme="minorHAnsi"/>
          <w:color w:val="000000"/>
          <w:sz w:val="24"/>
          <w:szCs w:val="24"/>
        </w:rPr>
        <w:t>na dostosowaniu się podmiotu prowadzącego magazyn do koniunktury gospodarczej.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>Zła koniunktura podnosi również koszty pożyczania pieniędzy na zrealizowanie inwestycji,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 xml:space="preserve">ponieważ banki są wtedy bardziej ostrożne. Wysoki </w:t>
      </w:r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wskaźnik pokrycia majątku</w:t>
      </w:r>
      <w:r w:rsidRPr="00BD4347">
        <w:rPr>
          <w:rFonts w:cstheme="minorHAnsi"/>
          <w:color w:val="00B050"/>
          <w:sz w:val="24"/>
          <w:szCs w:val="24"/>
        </w:rPr>
        <w:t xml:space="preserve"> </w:t>
      </w:r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kapitałami własnymi (</w:t>
      </w:r>
      <w:proofErr w:type="spellStart"/>
      <w:r w:rsidRPr="00BD4347">
        <w:rPr>
          <w:rFonts w:cstheme="minorHAnsi"/>
          <w:b/>
          <w:bCs/>
          <w:i/>
          <w:iCs/>
          <w:color w:val="00B050"/>
          <w:sz w:val="24"/>
          <w:szCs w:val="24"/>
        </w:rPr>
        <w:t>Wp</w:t>
      </w:r>
      <w:proofErr w:type="spellEnd"/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Pr="00BD4347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>jest przez banki odbierany jako sygnał, że przedsiębiorstwo posiada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>zdolność finansową. Kapitał własny nie wymaga zwrotu, co podnosi bezpieczeństwo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>funkcjonowania firmy oraz nie obciąża jej działalności kosztami odsetek. Jednak wykorzystywanie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>wyłącznie kapitału własnego hamuje rozwój przedsiębiorstwa, które nie jest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>w stanie realizować większych inwestycji.</w:t>
      </w:r>
    </w:p>
    <w:p w:rsidR="00BD4347" w:rsidRDefault="00BD4347" w:rsidP="00B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Wskaźnik płynności bieżący (</w:t>
      </w:r>
      <w:proofErr w:type="spellStart"/>
      <w:r w:rsidRPr="00BD4347">
        <w:rPr>
          <w:rFonts w:cstheme="minorHAnsi"/>
          <w:b/>
          <w:bCs/>
          <w:i/>
          <w:iCs/>
          <w:color w:val="00B050"/>
          <w:sz w:val="24"/>
          <w:szCs w:val="24"/>
        </w:rPr>
        <w:t>Wpb</w:t>
      </w:r>
      <w:proofErr w:type="spellEnd"/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Pr="00BD4347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>dotyczy zdolności przedsiębiorstwa do wywią</w:t>
      </w:r>
      <w:r>
        <w:rPr>
          <w:rFonts w:cstheme="minorHAnsi"/>
          <w:color w:val="000000"/>
          <w:sz w:val="24"/>
          <w:szCs w:val="24"/>
        </w:rPr>
        <w:t xml:space="preserve">zania </w:t>
      </w:r>
      <w:r w:rsidRPr="00BD4347">
        <w:rPr>
          <w:rFonts w:cstheme="minorHAnsi"/>
          <w:color w:val="000000"/>
          <w:sz w:val="24"/>
          <w:szCs w:val="24"/>
        </w:rPr>
        <w:t>się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 xml:space="preserve">z bieżących zobowiązań, np. uregulowania opłat za światło, podatków. </w:t>
      </w:r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Wskaźnik płynności</w:t>
      </w:r>
      <w:r w:rsidRPr="00BD4347">
        <w:rPr>
          <w:rFonts w:cstheme="minorHAnsi"/>
          <w:color w:val="00B050"/>
          <w:sz w:val="24"/>
          <w:szCs w:val="24"/>
        </w:rPr>
        <w:t xml:space="preserve"> </w:t>
      </w:r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wysoki (</w:t>
      </w:r>
      <w:proofErr w:type="spellStart"/>
      <w:r w:rsidRPr="00BD4347">
        <w:rPr>
          <w:rFonts w:cstheme="minorHAnsi"/>
          <w:b/>
          <w:bCs/>
          <w:i/>
          <w:iCs/>
          <w:color w:val="00B050"/>
          <w:sz w:val="24"/>
          <w:szCs w:val="24"/>
        </w:rPr>
        <w:t>Wpw</w:t>
      </w:r>
      <w:proofErr w:type="spellEnd"/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Pr="00BD4347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>informuje, jak aktywa pokrywają bieżące zobowią</w:t>
      </w:r>
      <w:r>
        <w:rPr>
          <w:rFonts w:cstheme="minorHAnsi"/>
          <w:color w:val="000000"/>
          <w:sz w:val="24"/>
          <w:szCs w:val="24"/>
        </w:rPr>
        <w:t xml:space="preserve">zania </w:t>
      </w:r>
      <w:r w:rsidRPr="00BD4347">
        <w:rPr>
          <w:rFonts w:cstheme="minorHAnsi"/>
          <w:color w:val="000000"/>
          <w:sz w:val="24"/>
          <w:szCs w:val="24"/>
        </w:rPr>
        <w:t>przedsiębiorstwa. Niski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 xml:space="preserve">wskaźnik płynności sygnalizuje, że przedsiębiorstwo ma problemy </w:t>
      </w:r>
      <w:r>
        <w:rPr>
          <w:rFonts w:cstheme="minorHAnsi"/>
          <w:color w:val="000000"/>
          <w:sz w:val="24"/>
          <w:szCs w:val="24"/>
        </w:rPr>
        <w:t xml:space="preserve">              </w:t>
      </w:r>
      <w:r w:rsidRPr="00BD4347">
        <w:rPr>
          <w:rFonts w:cstheme="minorHAnsi"/>
          <w:color w:val="000000"/>
          <w:sz w:val="24"/>
          <w:szCs w:val="24"/>
        </w:rPr>
        <w:t>z bieżącą regulacją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cstheme="minorHAnsi"/>
          <w:color w:val="000000"/>
          <w:sz w:val="24"/>
          <w:szCs w:val="24"/>
        </w:rPr>
        <w:t>należności lub w niedługim czasie może mieć takie problemy.</w:t>
      </w:r>
    </w:p>
    <w:p w:rsidR="00BD4347" w:rsidRPr="00BD4347" w:rsidRDefault="00BD4347" w:rsidP="00B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Wskaźnik wiarygodności kredytowej (</w:t>
      </w:r>
      <w:proofErr w:type="spellStart"/>
      <w:r w:rsidRPr="00BD4347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Wwk</w:t>
      </w:r>
      <w:proofErr w:type="spellEnd"/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Pr="00BD4347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BD4347">
        <w:rPr>
          <w:rFonts w:eastAsia="ScalaSansPro-Bold" w:cstheme="minorHAnsi"/>
          <w:color w:val="000000"/>
          <w:sz w:val="24"/>
          <w:szCs w:val="24"/>
        </w:rPr>
        <w:t>to informacja o tym, jak duże zobowiązania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eastAsia="ScalaSansPro-Bold" w:cstheme="minorHAnsi"/>
          <w:color w:val="000000"/>
          <w:sz w:val="24"/>
          <w:szCs w:val="24"/>
        </w:rPr>
        <w:t>przedsiębiorstwo jest w stanie podjąć, aby nie stracić płynności finansowej. Wskaźnik ten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eastAsia="ScalaSansPro-Bold" w:cstheme="minorHAnsi"/>
          <w:color w:val="000000"/>
          <w:sz w:val="24"/>
          <w:szCs w:val="24"/>
        </w:rPr>
        <w:t xml:space="preserve">powinien być wyższy niż 2, ponieważ taki poziom gwarantuje spłatę kredytu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          </w:t>
      </w:r>
      <w:r w:rsidRPr="00BD4347">
        <w:rPr>
          <w:rFonts w:eastAsia="ScalaSansPro-Bold" w:cstheme="minorHAnsi"/>
          <w:color w:val="000000"/>
          <w:sz w:val="24"/>
          <w:szCs w:val="24"/>
        </w:rPr>
        <w:t>wraz z odsetkami.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Wskaźnik poziomu zadłużenia kapitałowego (</w:t>
      </w:r>
      <w:proofErr w:type="spellStart"/>
      <w:r w:rsidRPr="00BD4347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Wzk</w:t>
      </w:r>
      <w:proofErr w:type="spellEnd"/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Pr="00BD4347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BD4347">
        <w:rPr>
          <w:rFonts w:eastAsia="ScalaSansPro-Bold" w:cstheme="minorHAnsi"/>
          <w:color w:val="000000"/>
          <w:sz w:val="24"/>
          <w:szCs w:val="24"/>
        </w:rPr>
        <w:t>powinien mieć tendencję malejącą.</w:t>
      </w:r>
    </w:p>
    <w:p w:rsidR="002A3736" w:rsidRDefault="00BD4347" w:rsidP="00BD434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Wskaźnik finansowania majątku trwałego (</w:t>
      </w:r>
      <w:proofErr w:type="spellStart"/>
      <w:r w:rsidRPr="00BD4347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Wft</w:t>
      </w:r>
      <w:proofErr w:type="spellEnd"/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Pr="00BD4347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BD4347">
        <w:rPr>
          <w:rFonts w:eastAsia="ScalaSansPro-Bold" w:cstheme="minorHAnsi"/>
          <w:color w:val="000000"/>
          <w:sz w:val="24"/>
          <w:szCs w:val="24"/>
        </w:rPr>
        <w:t>obrazuje, w jakim stopniu mają</w:t>
      </w:r>
      <w:r>
        <w:rPr>
          <w:rFonts w:eastAsia="ScalaSansPro-Bold" w:cstheme="minorHAnsi"/>
          <w:color w:val="000000"/>
          <w:sz w:val="24"/>
          <w:szCs w:val="24"/>
        </w:rPr>
        <w:t xml:space="preserve">tek </w:t>
      </w:r>
      <w:r w:rsidRPr="00BD4347">
        <w:rPr>
          <w:rFonts w:eastAsia="ScalaSansPro-Bold" w:cstheme="minorHAnsi"/>
          <w:color w:val="000000"/>
          <w:sz w:val="24"/>
          <w:szCs w:val="24"/>
        </w:rPr>
        <w:t>trwały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D4347">
        <w:rPr>
          <w:rFonts w:eastAsia="ScalaSansPro-Bold" w:cstheme="minorHAnsi"/>
          <w:color w:val="000000"/>
          <w:sz w:val="24"/>
          <w:szCs w:val="24"/>
        </w:rPr>
        <w:t>wykorzystywany do prac magazynowych jest finansowany kapitałem własnym. Wskaźnik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D4347">
        <w:rPr>
          <w:rFonts w:eastAsia="ScalaSansPro-Bold" w:cstheme="minorHAnsi"/>
          <w:color w:val="000000"/>
          <w:sz w:val="24"/>
          <w:szCs w:val="24"/>
        </w:rPr>
        <w:t xml:space="preserve">finansowania majątku trwałego powinien być większy od jedności, co świadczy o </w:t>
      </w:r>
      <w:r w:rsidRPr="00BD4347">
        <w:rPr>
          <w:rFonts w:eastAsia="ScalaSansPro-Bold" w:cstheme="minorHAnsi"/>
          <w:color w:val="000000"/>
          <w:sz w:val="24"/>
          <w:szCs w:val="24"/>
        </w:rPr>
        <w:lastRenderedPageBreak/>
        <w:t>tym,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D4347">
        <w:rPr>
          <w:rFonts w:eastAsia="ScalaSansPro-Bold" w:cstheme="minorHAnsi"/>
          <w:color w:val="000000"/>
          <w:sz w:val="24"/>
          <w:szCs w:val="24"/>
        </w:rPr>
        <w:t>że przedsiębiorstwo pokrywa na bieżąco koszty związane z utrzymaniem środków trwałych.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Wskaźnik obrotu należnościami (</w:t>
      </w:r>
      <w:r w:rsidRPr="00BD4347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Won</w:t>
      </w:r>
      <w:r w:rsidRPr="00BD4347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Pr="00BD4347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>
        <w:rPr>
          <w:rFonts w:eastAsia="ScalaSansPro-Bold" w:cstheme="minorHAnsi"/>
          <w:color w:val="000000"/>
          <w:sz w:val="24"/>
          <w:szCs w:val="24"/>
        </w:rPr>
        <w:t xml:space="preserve">jest wykorzystywany do zebrania </w:t>
      </w:r>
      <w:r w:rsidRPr="00BD4347">
        <w:rPr>
          <w:rFonts w:eastAsia="ScalaSansPro-Bold" w:cstheme="minorHAnsi"/>
          <w:color w:val="000000"/>
          <w:sz w:val="24"/>
          <w:szCs w:val="24"/>
        </w:rPr>
        <w:t>informacji, ile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D4347">
        <w:rPr>
          <w:rFonts w:eastAsia="ScalaSansPro-Bold" w:cstheme="minorHAnsi"/>
          <w:color w:val="000000"/>
          <w:sz w:val="24"/>
          <w:szCs w:val="24"/>
        </w:rPr>
        <w:t>razy w danym okresie jednostka gospodarcza odtwarza stan swych należności.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2A3736">
        <w:rPr>
          <w:rFonts w:eastAsia="ScalaSansPro-Bold" w:cstheme="minorHAnsi"/>
          <w:color w:val="000000"/>
          <w:sz w:val="24"/>
          <w:szCs w:val="24"/>
        </w:rPr>
        <w:t xml:space="preserve">    </w:t>
      </w:r>
    </w:p>
    <w:p w:rsidR="00BD4347" w:rsidRDefault="002A3736" w:rsidP="00BD434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="00BD4347" w:rsidRPr="00BD4347">
        <w:rPr>
          <w:rFonts w:eastAsia="ScalaSansPro-Bold" w:cstheme="minorHAnsi"/>
          <w:color w:val="000000"/>
          <w:sz w:val="24"/>
          <w:szCs w:val="24"/>
        </w:rPr>
        <w:t>W ramach oceny efektywności gospodarki magazynowej są prowadzone również</w:t>
      </w:r>
      <w:r w:rsidR="00BD434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BD4347" w:rsidRPr="00BD4347">
        <w:rPr>
          <w:rFonts w:eastAsia="ScalaSansPro-Bold" w:cstheme="minorHAnsi"/>
          <w:color w:val="000000"/>
          <w:sz w:val="24"/>
          <w:szCs w:val="24"/>
        </w:rPr>
        <w:t>następujące</w:t>
      </w:r>
      <w:r w:rsidR="00BD434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BD4347" w:rsidRPr="00BD4347">
        <w:rPr>
          <w:rFonts w:eastAsia="ScalaSansPro-Bold" w:cstheme="minorHAnsi"/>
          <w:color w:val="000000"/>
          <w:sz w:val="24"/>
          <w:szCs w:val="24"/>
        </w:rPr>
        <w:t>analizy:</w:t>
      </w:r>
    </w:p>
    <w:p w:rsidR="00BD4347" w:rsidRDefault="00BD4347" w:rsidP="00BD4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BD4347">
        <w:rPr>
          <w:rFonts w:eastAsia="ScalaSansPro-Bold" w:cstheme="minorHAnsi"/>
          <w:color w:val="000000"/>
          <w:sz w:val="24"/>
          <w:szCs w:val="24"/>
        </w:rPr>
        <w:t>dynamiki produkcji, usług i sprzedaży towarów,</w:t>
      </w:r>
    </w:p>
    <w:p w:rsidR="00BD4347" w:rsidRDefault="00BD4347" w:rsidP="00BD4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BD4347">
        <w:rPr>
          <w:rFonts w:eastAsia="ScalaSansPro-Bold" w:cstheme="minorHAnsi"/>
          <w:color w:val="000000"/>
          <w:sz w:val="24"/>
          <w:szCs w:val="24"/>
        </w:rPr>
        <w:t>struktury asortymentowej produktów, usług i towarów,</w:t>
      </w:r>
    </w:p>
    <w:p w:rsidR="007C7BD1" w:rsidRDefault="00BD4347" w:rsidP="00BD4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BD4347">
        <w:rPr>
          <w:rFonts w:eastAsia="ScalaSansPro-Bold" w:cstheme="minorHAnsi"/>
          <w:color w:val="000000"/>
          <w:sz w:val="24"/>
          <w:szCs w:val="24"/>
        </w:rPr>
        <w:t>jakości produkcji i usług.</w:t>
      </w:r>
    </w:p>
    <w:p w:rsidR="002A3736" w:rsidRPr="002A3736" w:rsidRDefault="002A3736" w:rsidP="002A37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3736">
        <w:rPr>
          <w:rFonts w:cstheme="minorHAnsi"/>
          <w:color w:val="000000"/>
          <w:sz w:val="24"/>
          <w:szCs w:val="24"/>
        </w:rPr>
        <w:t>W ramach oceny efektywności gospodarki magazynowej wykorzystuje się również analizy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A3736">
        <w:rPr>
          <w:rFonts w:cstheme="minorHAnsi"/>
          <w:color w:val="000000"/>
          <w:sz w:val="24"/>
          <w:szCs w:val="24"/>
        </w:rPr>
        <w:t>czynników i środków służących do realizacji zadań wynikających z cyklu produkcyjnego:</w:t>
      </w:r>
    </w:p>
    <w:p w:rsidR="002A3736" w:rsidRDefault="002A3736" w:rsidP="002A37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3736">
        <w:rPr>
          <w:rFonts w:cstheme="minorHAnsi"/>
          <w:color w:val="000000"/>
          <w:sz w:val="24"/>
          <w:szCs w:val="24"/>
        </w:rPr>
        <w:t>analizę stanu maszyn i urządzeń oraz możliwości ich wykorzystania;</w:t>
      </w:r>
    </w:p>
    <w:p w:rsidR="002A3736" w:rsidRDefault="002A3736" w:rsidP="002A37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3736">
        <w:rPr>
          <w:rFonts w:cstheme="minorHAnsi"/>
          <w:color w:val="000000"/>
          <w:sz w:val="24"/>
          <w:szCs w:val="24"/>
        </w:rPr>
        <w:t xml:space="preserve">analizę gospodarki materiałowej, dotyczącą tego, jaki towar jest składowany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2A3736">
        <w:rPr>
          <w:rFonts w:cstheme="minorHAnsi"/>
          <w:color w:val="000000"/>
          <w:sz w:val="24"/>
          <w:szCs w:val="24"/>
        </w:rPr>
        <w:t>w magazynie;</w:t>
      </w:r>
    </w:p>
    <w:p w:rsidR="002A3736" w:rsidRPr="002A3736" w:rsidRDefault="002A3736" w:rsidP="002A37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3736">
        <w:rPr>
          <w:rFonts w:cstheme="minorHAnsi"/>
          <w:color w:val="000000"/>
          <w:sz w:val="24"/>
          <w:szCs w:val="24"/>
        </w:rPr>
        <w:t>analizę zatrudnienia i płac.</w:t>
      </w:r>
    </w:p>
    <w:p w:rsidR="00BD4347" w:rsidRPr="002A3736" w:rsidRDefault="002A3736" w:rsidP="002A37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3736">
        <w:rPr>
          <w:rFonts w:cstheme="minorHAnsi"/>
          <w:color w:val="000000"/>
          <w:sz w:val="24"/>
          <w:szCs w:val="24"/>
        </w:rPr>
        <w:t>Wskaźniki efektywności gospodarki magazynowej należy dobierać do specyfiki magazynu,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A3736">
        <w:rPr>
          <w:rFonts w:cstheme="minorHAnsi"/>
          <w:color w:val="000000"/>
          <w:sz w:val="24"/>
          <w:szCs w:val="24"/>
        </w:rPr>
        <w:t>ponieważ może się zdarzyć, że nie wszystkie wykażą, iż funkcjonowanie przedsiębiorstwa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A3736">
        <w:rPr>
          <w:rFonts w:cstheme="minorHAnsi"/>
          <w:color w:val="000000"/>
          <w:sz w:val="24"/>
          <w:szCs w:val="24"/>
        </w:rPr>
        <w:t>jest ekonomicznie uzasadnione.</w:t>
      </w:r>
    </w:p>
    <w:sectPr w:rsidR="00BD4347" w:rsidRPr="002A3736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8D7"/>
    <w:multiLevelType w:val="hybridMultilevel"/>
    <w:tmpl w:val="A476E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136A"/>
    <w:multiLevelType w:val="hybridMultilevel"/>
    <w:tmpl w:val="09E28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039EE"/>
    <w:multiLevelType w:val="hybridMultilevel"/>
    <w:tmpl w:val="203A9B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A1047"/>
    <w:multiLevelType w:val="hybridMultilevel"/>
    <w:tmpl w:val="5EDEEF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6254B"/>
    <w:multiLevelType w:val="hybridMultilevel"/>
    <w:tmpl w:val="BE4E6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006F4"/>
    <w:multiLevelType w:val="hybridMultilevel"/>
    <w:tmpl w:val="D1C28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9F3"/>
    <w:rsid w:val="0001179F"/>
    <w:rsid w:val="00133CFB"/>
    <w:rsid w:val="001C60A3"/>
    <w:rsid w:val="002A3736"/>
    <w:rsid w:val="003B6667"/>
    <w:rsid w:val="003C3F91"/>
    <w:rsid w:val="00456FD1"/>
    <w:rsid w:val="004851A3"/>
    <w:rsid w:val="004D09F3"/>
    <w:rsid w:val="004D5DFC"/>
    <w:rsid w:val="0050084B"/>
    <w:rsid w:val="00594F75"/>
    <w:rsid w:val="005C50A8"/>
    <w:rsid w:val="005F3E75"/>
    <w:rsid w:val="0067447C"/>
    <w:rsid w:val="006C7128"/>
    <w:rsid w:val="006E4901"/>
    <w:rsid w:val="006E5139"/>
    <w:rsid w:val="00717814"/>
    <w:rsid w:val="007C7BD1"/>
    <w:rsid w:val="00865ECC"/>
    <w:rsid w:val="00867135"/>
    <w:rsid w:val="008E49F5"/>
    <w:rsid w:val="009A7E0B"/>
    <w:rsid w:val="00A50CEF"/>
    <w:rsid w:val="00BD4347"/>
    <w:rsid w:val="00E26B47"/>
    <w:rsid w:val="00F46C5A"/>
    <w:rsid w:val="00F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9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9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16</cp:revision>
  <dcterms:created xsi:type="dcterms:W3CDTF">2021-02-01T19:12:00Z</dcterms:created>
  <dcterms:modified xsi:type="dcterms:W3CDTF">2021-02-18T11:01:00Z</dcterms:modified>
</cp:coreProperties>
</file>