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8204AA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206FB2">
        <w:rPr>
          <w:b/>
          <w:sz w:val="24"/>
          <w:szCs w:val="24"/>
        </w:rPr>
        <w:t>.01</w:t>
      </w:r>
      <w:r w:rsidR="00373FD6">
        <w:rPr>
          <w:b/>
          <w:sz w:val="24"/>
          <w:szCs w:val="24"/>
        </w:rPr>
        <w:t>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1F7464" w:rsidRPr="001F7464">
        <w:rPr>
          <w:rFonts w:eastAsia="ScalaSansPro-Bold" w:cstheme="minorHAnsi"/>
          <w:b/>
          <w:bCs/>
          <w:i/>
          <w:sz w:val="24"/>
          <w:szCs w:val="24"/>
        </w:rPr>
        <w:t xml:space="preserve">Wskaźniki </w:t>
      </w:r>
      <w:r w:rsidR="008204AA">
        <w:rPr>
          <w:rFonts w:eastAsia="ScalaSansPro-Bold" w:cstheme="minorHAnsi"/>
          <w:b/>
          <w:bCs/>
          <w:i/>
          <w:sz w:val="24"/>
          <w:szCs w:val="24"/>
        </w:rPr>
        <w:t>kosztowe</w:t>
      </w:r>
    </w:p>
    <w:p w:rsidR="00766EE4" w:rsidRPr="0092175B" w:rsidRDefault="00766EE4" w:rsidP="00DA3181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92175B" w:rsidRDefault="003A48A4" w:rsidP="00DA3181">
      <w:pPr>
        <w:spacing w:after="0" w:line="240" w:lineRule="auto"/>
        <w:rPr>
          <w:b/>
          <w:i/>
          <w:sz w:val="12"/>
          <w:szCs w:val="12"/>
        </w:rPr>
      </w:pPr>
    </w:p>
    <w:p w:rsidR="00A92B10" w:rsidRDefault="000B25D7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7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537482" w:rsidRPr="00537482" w:rsidRDefault="000B25D7" w:rsidP="00537482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585545" w:rsidRPr="008204AA" w:rsidRDefault="008204AA" w:rsidP="008204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04AA">
        <w:rPr>
          <w:rFonts w:cstheme="minorHAnsi"/>
          <w:sz w:val="24"/>
          <w:szCs w:val="24"/>
        </w:rPr>
        <w:t>Kolejną grupą wskaźników będących podstawą oceny zagospodarowania przestrzennego</w:t>
      </w:r>
      <w:r>
        <w:rPr>
          <w:rFonts w:cstheme="minorHAnsi"/>
          <w:sz w:val="24"/>
          <w:szCs w:val="24"/>
        </w:rPr>
        <w:t xml:space="preserve"> </w:t>
      </w:r>
      <w:r w:rsidRPr="008204AA">
        <w:rPr>
          <w:rFonts w:cstheme="minorHAnsi"/>
          <w:sz w:val="24"/>
          <w:szCs w:val="24"/>
        </w:rPr>
        <w:t>magazynu są wskaźniki kosztowe działalności magazynów.</w:t>
      </w:r>
    </w:p>
    <w:p w:rsidR="0092175B" w:rsidRDefault="0092175B" w:rsidP="005855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8204AA" w:rsidRPr="008204AA" w:rsidRDefault="008204AA" w:rsidP="008204A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204AA">
        <w:rPr>
          <w:rFonts w:eastAsia="ScalaSansPro-Bold" w:cstheme="minorHAnsi"/>
          <w:b/>
          <w:bCs/>
          <w:color w:val="00B050"/>
          <w:sz w:val="24"/>
          <w:szCs w:val="24"/>
        </w:rPr>
        <w:t>Wskaźnik kosztów magazynowania (</w:t>
      </w:r>
      <w:proofErr w:type="spellStart"/>
      <w:r w:rsidRPr="008204AA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K</w:t>
      </w:r>
      <w:r w:rsidRPr="008204AA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mj</w:t>
      </w:r>
      <w:proofErr w:type="spellEnd"/>
      <w:r w:rsidRPr="008204AA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>-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204AA">
        <w:rPr>
          <w:rFonts w:eastAsia="ScalaSansPro-Bold" w:cstheme="minorHAnsi"/>
          <w:color w:val="000000"/>
          <w:sz w:val="24"/>
          <w:szCs w:val="24"/>
        </w:rPr>
        <w:t>jeden z podstawowych mierników efektywności funkcjonowania magazynu. Pozwala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204AA">
        <w:rPr>
          <w:rFonts w:eastAsia="ScalaSansPro-Bold" w:cstheme="minorHAnsi"/>
          <w:color w:val="000000"/>
          <w:sz w:val="24"/>
          <w:szCs w:val="24"/>
        </w:rPr>
        <w:t>na określenie poziomu oszczędnoś</w:t>
      </w:r>
      <w:r>
        <w:rPr>
          <w:rFonts w:eastAsia="ScalaSansPro-Bold" w:cstheme="minorHAnsi"/>
          <w:color w:val="000000"/>
          <w:sz w:val="24"/>
          <w:szCs w:val="24"/>
        </w:rPr>
        <w:t xml:space="preserve">ci w magazynie                     w </w:t>
      </w:r>
      <w:r w:rsidRPr="008204AA">
        <w:rPr>
          <w:rFonts w:eastAsia="ScalaSansPro-Bold" w:cstheme="minorHAnsi"/>
          <w:color w:val="000000"/>
          <w:sz w:val="24"/>
          <w:szCs w:val="24"/>
        </w:rPr>
        <w:t>badanych okresach.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204AA">
        <w:rPr>
          <w:rFonts w:eastAsia="ScalaSansPro-Bold" w:cstheme="minorHAnsi"/>
          <w:color w:val="000000"/>
          <w:sz w:val="24"/>
          <w:szCs w:val="24"/>
        </w:rPr>
        <w:t>Zaletą</w:t>
      </w:r>
      <w:r>
        <w:rPr>
          <w:rFonts w:eastAsia="ScalaSansPro-Bold" w:cstheme="minorHAnsi"/>
          <w:color w:val="000000"/>
          <w:sz w:val="24"/>
          <w:szCs w:val="24"/>
        </w:rPr>
        <w:t xml:space="preserve"> tego wskaźnika</w:t>
      </w:r>
      <w:r w:rsidRPr="008204AA">
        <w:rPr>
          <w:rFonts w:eastAsia="ScalaSansPro-Bold" w:cstheme="minorHAnsi"/>
          <w:color w:val="000000"/>
          <w:sz w:val="24"/>
          <w:szCs w:val="24"/>
        </w:rPr>
        <w:t xml:space="preserve"> jest to, że dość precyzyjnie charakteryzuje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204AA">
        <w:rPr>
          <w:rFonts w:eastAsia="ScalaSansPro-Bold" w:cstheme="minorHAnsi"/>
          <w:color w:val="000000"/>
          <w:sz w:val="24"/>
          <w:szCs w:val="24"/>
        </w:rPr>
        <w:t xml:space="preserve">podstawową funkcję magazynu. Wadą natomiast jest zbyt duża liczba czynników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</w:t>
      </w:r>
      <w:r w:rsidRPr="008204AA">
        <w:rPr>
          <w:rFonts w:eastAsia="ScalaSansPro-Bold" w:cstheme="minorHAnsi"/>
          <w:color w:val="000000"/>
          <w:sz w:val="24"/>
          <w:szCs w:val="24"/>
        </w:rPr>
        <w:t>do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204AA">
        <w:rPr>
          <w:rFonts w:eastAsia="ScalaSansPro-Bold" w:cstheme="minorHAnsi"/>
          <w:color w:val="000000"/>
          <w:sz w:val="24"/>
          <w:szCs w:val="24"/>
        </w:rPr>
        <w:t>zbadania (np. poziom zróżnicowania cen, stawek płac, struktury asortymentowej obrotu).</w:t>
      </w:r>
    </w:p>
    <w:p w:rsidR="008204AA" w:rsidRPr="008204AA" w:rsidRDefault="008204AA" w:rsidP="008204AA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775970" cy="499745"/>
            <wp:effectExtent l="19050" t="0" r="508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AA" w:rsidRPr="008204AA" w:rsidRDefault="008204AA" w:rsidP="008204A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8204AA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8204AA">
        <w:rPr>
          <w:rFonts w:eastAsia="ScalaSansPro-Bold" w:cstheme="minorHAnsi"/>
          <w:i/>
          <w:iCs/>
          <w:color w:val="000000"/>
          <w:sz w:val="16"/>
          <w:szCs w:val="16"/>
        </w:rPr>
        <w:t>mc</w:t>
      </w:r>
      <w:proofErr w:type="spellEnd"/>
      <w:r w:rsidRPr="008204AA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8204AA">
        <w:rPr>
          <w:rFonts w:eastAsia="ScalaSansPro-Bold" w:cstheme="minorHAnsi"/>
          <w:color w:val="000000"/>
          <w:sz w:val="24"/>
          <w:szCs w:val="24"/>
        </w:rPr>
        <w:t>– łączne koszty magazynowania w badanym okresie (zł),</w:t>
      </w:r>
    </w:p>
    <w:p w:rsidR="008204AA" w:rsidRPr="008204AA" w:rsidRDefault="008204AA" w:rsidP="008204A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8204AA">
        <w:rPr>
          <w:rFonts w:eastAsia="ScalaSansPro-Bold" w:cstheme="minorHAnsi"/>
          <w:i/>
          <w:iCs/>
          <w:color w:val="000000"/>
          <w:sz w:val="24"/>
          <w:szCs w:val="24"/>
        </w:rPr>
        <w:t>O</w:t>
      </w:r>
      <w:r w:rsidRPr="008204AA">
        <w:rPr>
          <w:rFonts w:eastAsia="ScalaSansPro-Bold" w:cstheme="minorHAnsi"/>
          <w:i/>
          <w:iCs/>
          <w:color w:val="000000"/>
          <w:sz w:val="16"/>
          <w:szCs w:val="16"/>
        </w:rPr>
        <w:t>mr</w:t>
      </w:r>
      <w:proofErr w:type="spellEnd"/>
      <w:r w:rsidRPr="008204AA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8204AA">
        <w:rPr>
          <w:rFonts w:eastAsia="ScalaSansPro-Bold" w:cstheme="minorHAnsi"/>
          <w:color w:val="000000"/>
          <w:sz w:val="24"/>
          <w:szCs w:val="24"/>
        </w:rPr>
        <w:t>– wielkość obrotu magazynowego wg rozchodu w badanym okresie (t, zł).</w:t>
      </w:r>
    </w:p>
    <w:p w:rsidR="008204AA" w:rsidRDefault="008204AA" w:rsidP="008204A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EE1D24"/>
          <w:sz w:val="24"/>
          <w:szCs w:val="24"/>
        </w:rPr>
      </w:pPr>
    </w:p>
    <w:p w:rsidR="00AC734B" w:rsidRP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C734B">
        <w:rPr>
          <w:rFonts w:eastAsia="ScalaSansPro-Bold" w:cstheme="minorHAnsi"/>
          <w:b/>
          <w:bCs/>
          <w:color w:val="00B050"/>
          <w:sz w:val="24"/>
          <w:szCs w:val="24"/>
        </w:rPr>
        <w:t>Wskaźnik kosztów składowania zapasu (</w:t>
      </w:r>
      <w:proofErr w:type="spellStart"/>
      <w:r w:rsidRPr="00AC734B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K</w:t>
      </w:r>
      <w:r w:rsidRPr="00AC734B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sz</w:t>
      </w:r>
      <w:proofErr w:type="spellEnd"/>
      <w:r w:rsidRPr="00AC734B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Pr="00AC734B">
        <w:rPr>
          <w:rFonts w:eastAsia="ScalaSansPro-Bold" w:cstheme="minorHAnsi"/>
          <w:color w:val="000000"/>
          <w:sz w:val="24"/>
          <w:szCs w:val="24"/>
        </w:rPr>
        <w:t>służy do określenia poziomu kosztów, które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przypadają na jednostkę produkcyjną. Im niższy wskaźnik, tym sprawniej i taniej funkcjonuje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magazyn. Przyjmuje się, że wskaźnik kosztów składowania zapasów nie powinien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przekraczać 25% kosztów wytworzenia produktu.</w:t>
      </w:r>
    </w:p>
    <w:p w:rsidR="00AC734B" w:rsidRPr="00AC734B" w:rsidRDefault="00AC734B" w:rsidP="00AC734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723265" cy="467995"/>
            <wp:effectExtent l="19050" t="0" r="635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4B" w:rsidRP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AC734B">
        <w:rPr>
          <w:rFonts w:eastAsia="ScalaSansPro-Bold" w:cstheme="minorHAnsi"/>
          <w:i/>
          <w:iCs/>
          <w:color w:val="000000"/>
          <w:sz w:val="16"/>
          <w:szCs w:val="16"/>
        </w:rPr>
        <w:t>mc</w:t>
      </w:r>
      <w:proofErr w:type="spellEnd"/>
      <w:r w:rsidRPr="00AC734B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– łączne koszty magazynowania w badanym okresie (zł),</w:t>
      </w:r>
    </w:p>
    <w:p w:rsid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AC734B">
        <w:rPr>
          <w:rFonts w:eastAsia="ScalaSansPro-Bold" w:cstheme="minorHAnsi"/>
          <w:i/>
          <w:iCs/>
          <w:color w:val="000000"/>
          <w:sz w:val="16"/>
          <w:szCs w:val="16"/>
        </w:rPr>
        <w:t>s</w:t>
      </w:r>
      <w:proofErr w:type="spellEnd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– zapas średni w badanym okresie (zł, t).</w:t>
      </w:r>
    </w:p>
    <w:p w:rsid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AC734B" w:rsidRP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C734B">
        <w:rPr>
          <w:rFonts w:eastAsia="ScalaSansPro-Bold" w:cstheme="minorHAnsi"/>
          <w:b/>
          <w:bCs/>
          <w:color w:val="00B050"/>
          <w:sz w:val="24"/>
          <w:szCs w:val="24"/>
        </w:rPr>
        <w:t>Wskaźnik kosztów efektywności pracy magazynu (</w:t>
      </w:r>
      <w:r w:rsidRPr="00AC734B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E</w:t>
      </w:r>
      <w:r w:rsidRPr="00AC734B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m</w:t>
      </w:r>
      <w:r w:rsidRPr="00AC734B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Pr="00AC734B">
        <w:rPr>
          <w:rFonts w:eastAsia="ScalaSansPro-Bold" w:cstheme="minorHAnsi"/>
          <w:color w:val="000000"/>
          <w:sz w:val="24"/>
          <w:szCs w:val="24"/>
        </w:rPr>
        <w:t>służy do okreś</w:t>
      </w:r>
      <w:r>
        <w:rPr>
          <w:rFonts w:eastAsia="ScalaSansPro-Bold" w:cstheme="minorHAnsi"/>
          <w:color w:val="000000"/>
          <w:sz w:val="24"/>
          <w:szCs w:val="24"/>
        </w:rPr>
        <w:t xml:space="preserve">lania poziomu, na </w:t>
      </w:r>
      <w:r w:rsidRPr="00AC734B">
        <w:rPr>
          <w:rFonts w:eastAsia="ScalaSansPro-Bold" w:cstheme="minorHAnsi"/>
          <w:color w:val="000000"/>
          <w:sz w:val="24"/>
          <w:szCs w:val="24"/>
        </w:rPr>
        <w:t>jakim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kształtowały się koszty magazynowania w dwóch bad</w:t>
      </w:r>
      <w:r>
        <w:rPr>
          <w:rFonts w:eastAsia="ScalaSansPro-Bold" w:cstheme="minorHAnsi"/>
          <w:color w:val="000000"/>
          <w:sz w:val="24"/>
          <w:szCs w:val="24"/>
        </w:rPr>
        <w:t xml:space="preserve">anych okresach, oraz informuje, </w:t>
      </w:r>
      <w:r w:rsidRPr="00AC734B">
        <w:rPr>
          <w:rFonts w:eastAsia="ScalaSansPro-Bold" w:cstheme="minorHAnsi"/>
          <w:color w:val="000000"/>
          <w:sz w:val="24"/>
          <w:szCs w:val="24"/>
        </w:rPr>
        <w:t>jak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kształtowała się efektywność pracy magazynu w badanych okresach.</w:t>
      </w:r>
    </w:p>
    <w:p w:rsidR="00AC734B" w:rsidRPr="00AC734B" w:rsidRDefault="00AC734B" w:rsidP="00AC734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i/>
          <w:iCs/>
          <w:color w:val="000000"/>
          <w:sz w:val="24"/>
          <w:szCs w:val="24"/>
        </w:rPr>
      </w:pPr>
      <w:r w:rsidRPr="00AC734B">
        <w:rPr>
          <w:rFonts w:eastAsia="ScalaSansPro-Bold" w:cstheme="minorHAnsi"/>
          <w:i/>
          <w:iCs/>
          <w:color w:val="000000"/>
          <w:sz w:val="32"/>
          <w:szCs w:val="32"/>
        </w:rPr>
        <w:t>E</w:t>
      </w:r>
      <w:r w:rsidRPr="00AC734B">
        <w:rPr>
          <w:rFonts w:eastAsia="ScalaSansPro-Bold" w:cstheme="minorHAnsi"/>
          <w:i/>
          <w:iCs/>
          <w:color w:val="000000"/>
          <w:sz w:val="16"/>
          <w:szCs w:val="16"/>
        </w:rPr>
        <w:t>m</w:t>
      </w:r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= (</w:t>
      </w:r>
      <w:proofErr w:type="spellStart"/>
      <w:r w:rsidRPr="00AC734B">
        <w:rPr>
          <w:rFonts w:eastAsia="ScalaSansPro-Bold" w:cstheme="minorHAnsi"/>
          <w:i/>
          <w:iCs/>
          <w:color w:val="000000"/>
          <w:sz w:val="32"/>
          <w:szCs w:val="32"/>
        </w:rPr>
        <w:t>K</w:t>
      </w:r>
      <w:r w:rsidRPr="00AC734B">
        <w:rPr>
          <w:rFonts w:eastAsia="ScalaSansPro-Bold" w:cstheme="minorHAnsi"/>
          <w:i/>
          <w:iCs/>
          <w:color w:val="000000"/>
          <w:sz w:val="16"/>
          <w:szCs w:val="16"/>
        </w:rPr>
        <w:t>mjb</w:t>
      </w:r>
      <w:proofErr w:type="spellEnd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 xml:space="preserve">– </w:t>
      </w:r>
      <w:proofErr w:type="spellStart"/>
      <w:r w:rsidRPr="00AC734B">
        <w:rPr>
          <w:rFonts w:eastAsia="ScalaSansPro-Bold" w:cstheme="minorHAnsi"/>
          <w:i/>
          <w:iCs/>
          <w:color w:val="000000"/>
          <w:sz w:val="32"/>
          <w:szCs w:val="32"/>
        </w:rPr>
        <w:t>K</w:t>
      </w:r>
      <w:r w:rsidRPr="00AC734B">
        <w:rPr>
          <w:rFonts w:eastAsia="ScalaSansPro-Bold" w:cstheme="minorHAnsi"/>
          <w:i/>
          <w:iCs/>
          <w:color w:val="000000"/>
          <w:sz w:val="16"/>
          <w:szCs w:val="16"/>
        </w:rPr>
        <w:t>mjd</w:t>
      </w:r>
      <w:proofErr w:type="spellEnd"/>
      <w:r w:rsidRPr="00AC734B">
        <w:rPr>
          <w:rFonts w:eastAsia="ScalaSansPro-Bold" w:cstheme="minorHAnsi"/>
          <w:color w:val="000000"/>
          <w:sz w:val="24"/>
          <w:szCs w:val="24"/>
        </w:rPr>
        <w:t xml:space="preserve">) – </w:t>
      </w:r>
      <w:proofErr w:type="spellStart"/>
      <w:r w:rsidRPr="00AC734B">
        <w:rPr>
          <w:rFonts w:eastAsia="ScalaSansPro-Bold" w:cstheme="minorHAnsi"/>
          <w:i/>
          <w:iCs/>
          <w:color w:val="000000"/>
          <w:sz w:val="32"/>
          <w:szCs w:val="32"/>
        </w:rPr>
        <w:t>O</w:t>
      </w:r>
      <w:r w:rsidRPr="00AC734B">
        <w:rPr>
          <w:rFonts w:eastAsia="ScalaSansPro-Bold" w:cstheme="minorHAnsi"/>
          <w:i/>
          <w:iCs/>
          <w:color w:val="000000"/>
          <w:sz w:val="16"/>
          <w:szCs w:val="16"/>
        </w:rPr>
        <w:t>mrd</w:t>
      </w:r>
      <w:proofErr w:type="spellEnd"/>
    </w:p>
    <w:p w:rsidR="00AC734B" w:rsidRP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AC734B">
        <w:rPr>
          <w:rFonts w:eastAsia="ScalaSansPro-Bold" w:cstheme="minorHAnsi"/>
          <w:i/>
          <w:iCs/>
          <w:color w:val="000000"/>
          <w:sz w:val="16"/>
          <w:szCs w:val="16"/>
        </w:rPr>
        <w:t>mjb</w:t>
      </w:r>
      <w:proofErr w:type="spellEnd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– jednostkowy koszt magazynowania okresu bazowego (zł),</w:t>
      </w:r>
    </w:p>
    <w:p w:rsidR="00AC734B" w:rsidRP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AC734B">
        <w:rPr>
          <w:rFonts w:eastAsia="ScalaSansPro-Bold" w:cstheme="minorHAnsi"/>
          <w:i/>
          <w:iCs/>
          <w:color w:val="000000"/>
          <w:sz w:val="16"/>
          <w:szCs w:val="16"/>
        </w:rPr>
        <w:t>mjd</w:t>
      </w:r>
      <w:proofErr w:type="spellEnd"/>
      <w:r w:rsidRPr="00AC734B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– jednostkowy koszt magazynowania okresu docelowego (zł),</w:t>
      </w:r>
    </w:p>
    <w:p w:rsidR="00AC734B" w:rsidRP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>O</w:t>
      </w:r>
      <w:r w:rsidRPr="00AC734B">
        <w:rPr>
          <w:rFonts w:eastAsia="ScalaSansPro-Bold" w:cstheme="minorHAnsi"/>
          <w:i/>
          <w:iCs/>
          <w:color w:val="000000"/>
          <w:sz w:val="16"/>
          <w:szCs w:val="16"/>
        </w:rPr>
        <w:t>mrd</w:t>
      </w:r>
      <w:proofErr w:type="spellEnd"/>
      <w:r w:rsidRPr="00AC734B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– wielkość obrotu magazynowego wg rozchodu w okresie docelowym (t, zł).</w:t>
      </w:r>
    </w:p>
    <w:p w:rsid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EE1D24"/>
          <w:sz w:val="24"/>
          <w:szCs w:val="24"/>
        </w:rPr>
      </w:pPr>
    </w:p>
    <w:p w:rsid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C734B">
        <w:rPr>
          <w:rFonts w:eastAsia="ScalaSansPro-Bold" w:cstheme="minorHAnsi"/>
          <w:b/>
          <w:bCs/>
          <w:color w:val="00B050"/>
          <w:sz w:val="24"/>
          <w:szCs w:val="24"/>
        </w:rPr>
        <w:t>Wskaźnik kosztów utrzymania powierzchni (</w:t>
      </w:r>
      <w:proofErr w:type="spellStart"/>
      <w:r w:rsidRPr="00AC734B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AC734B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up</w:t>
      </w:r>
      <w:proofErr w:type="spellEnd"/>
      <w:r w:rsidRPr="00AC734B">
        <w:rPr>
          <w:rFonts w:eastAsia="ScalaSansPro-Bold" w:cstheme="minorHAnsi"/>
          <w:b/>
          <w:bCs/>
          <w:color w:val="00B050"/>
          <w:sz w:val="24"/>
          <w:szCs w:val="24"/>
        </w:rPr>
        <w:t>) i przestrzeni magazynowej (</w:t>
      </w:r>
      <w:proofErr w:type="spellStart"/>
      <w:r w:rsidRPr="00AC734B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AC734B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uprz</w:t>
      </w:r>
      <w:proofErr w:type="spellEnd"/>
      <w:r w:rsidRPr="00AC734B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="00DC7F55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 xml:space="preserve">Wskaźnik </w:t>
      </w:r>
      <w:proofErr w:type="spellStart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>M</w:t>
      </w:r>
      <w:r w:rsidRPr="00DC7F55">
        <w:rPr>
          <w:rFonts w:eastAsia="ScalaSansPro-Bold" w:cstheme="minorHAnsi"/>
          <w:i/>
          <w:iCs/>
          <w:color w:val="000000"/>
          <w:sz w:val="16"/>
          <w:szCs w:val="16"/>
        </w:rPr>
        <w:t>up</w:t>
      </w:r>
      <w:proofErr w:type="spellEnd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obrazuje wielkość</w:t>
      </w:r>
      <w:r w:rsidR="00DC7F55">
        <w:rPr>
          <w:rFonts w:eastAsia="ScalaSansPro-Bold" w:cstheme="minorHAnsi"/>
          <w:color w:val="000000"/>
          <w:sz w:val="24"/>
          <w:szCs w:val="24"/>
        </w:rPr>
        <w:t xml:space="preserve"> kosztów magazynowania na 1 </w:t>
      </w:r>
      <w:r w:rsidRPr="00AC734B">
        <w:rPr>
          <w:rFonts w:eastAsia="ScalaSansPro-Bold" w:cstheme="minorHAnsi"/>
          <w:color w:val="000000"/>
          <w:sz w:val="24"/>
          <w:szCs w:val="24"/>
        </w:rPr>
        <w:t>m2 powierzchni użytkowej</w:t>
      </w:r>
      <w:r w:rsidR="00DC7F55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 xml:space="preserve">magazynu, a wskaźnik </w:t>
      </w:r>
      <w:proofErr w:type="spellStart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>Muprz</w:t>
      </w:r>
      <w:proofErr w:type="spellEnd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– na 1 m3 przestrzeni użytkowej. Wskaźnik ten służ</w:t>
      </w:r>
      <w:r w:rsidR="00DC7F55">
        <w:rPr>
          <w:rFonts w:eastAsia="ScalaSansPro-Bold" w:cstheme="minorHAnsi"/>
          <w:color w:val="000000"/>
          <w:sz w:val="24"/>
          <w:szCs w:val="24"/>
        </w:rPr>
        <w:t xml:space="preserve">y do </w:t>
      </w:r>
      <w:r w:rsidRPr="00AC734B">
        <w:rPr>
          <w:rFonts w:eastAsia="ScalaSansPro-Bold" w:cstheme="minorHAnsi"/>
          <w:color w:val="000000"/>
          <w:sz w:val="24"/>
          <w:szCs w:val="24"/>
        </w:rPr>
        <w:t>porównania</w:t>
      </w:r>
      <w:r w:rsidR="00DC7F55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działalności podobnie zorganizowanych magazynów.</w:t>
      </w:r>
    </w:p>
    <w:p w:rsidR="00AC734B" w:rsidRPr="00AC734B" w:rsidRDefault="00DC7F55" w:rsidP="00DC7F5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903605" cy="1116330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4B" w:rsidRP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DC7F55">
        <w:rPr>
          <w:rFonts w:eastAsia="ScalaSansPro-Bold" w:cstheme="minorHAnsi"/>
          <w:i/>
          <w:iCs/>
          <w:color w:val="000000"/>
          <w:sz w:val="16"/>
          <w:szCs w:val="16"/>
        </w:rPr>
        <w:t>mc</w:t>
      </w:r>
      <w:proofErr w:type="spellEnd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– łączne koszty magazynowania w badanym okresie (zł),</w:t>
      </w:r>
    </w:p>
    <w:p w:rsidR="00AC734B" w:rsidRP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>P</w:t>
      </w:r>
      <w:r w:rsidRPr="00DC7F55">
        <w:rPr>
          <w:rFonts w:eastAsia="ScalaSansPro-Bold" w:cstheme="minorHAnsi"/>
          <w:i/>
          <w:iCs/>
          <w:color w:val="000000"/>
          <w:sz w:val="16"/>
          <w:szCs w:val="16"/>
        </w:rPr>
        <w:t>u</w:t>
      </w:r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– powierzchnia użytkowa magazynu (m2),</w:t>
      </w:r>
    </w:p>
    <w:p w:rsidR="00AC734B" w:rsidRP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AC734B">
        <w:rPr>
          <w:rFonts w:eastAsia="ScalaSansPro-Bold" w:cstheme="minorHAnsi"/>
          <w:i/>
          <w:iCs/>
          <w:color w:val="000000"/>
          <w:sz w:val="24"/>
          <w:szCs w:val="24"/>
        </w:rPr>
        <w:t>V</w:t>
      </w:r>
      <w:r w:rsidRPr="00DC7F55">
        <w:rPr>
          <w:rFonts w:eastAsia="ScalaSansPro-Bold" w:cstheme="minorHAnsi"/>
          <w:i/>
          <w:iCs/>
          <w:color w:val="000000"/>
          <w:sz w:val="16"/>
          <w:szCs w:val="16"/>
        </w:rPr>
        <w:t>u</w:t>
      </w:r>
      <w:proofErr w:type="spellEnd"/>
      <w:r w:rsidRPr="00DC7F55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AC734B">
        <w:rPr>
          <w:rFonts w:eastAsia="ScalaSansPro-Bold" w:cstheme="minorHAnsi"/>
          <w:color w:val="000000"/>
          <w:sz w:val="24"/>
          <w:szCs w:val="24"/>
        </w:rPr>
        <w:t>– przestrzeń użytkowa magazynu (m3).</w:t>
      </w:r>
    </w:p>
    <w:p w:rsidR="00AC734B" w:rsidRPr="00AC734B" w:rsidRDefault="00AC734B" w:rsidP="00AC734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EE1D24"/>
          <w:sz w:val="24"/>
          <w:szCs w:val="24"/>
        </w:rPr>
      </w:pPr>
    </w:p>
    <w:sectPr w:rsidR="00AC734B" w:rsidRPr="00AC734B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77" w:rsidRDefault="00F93F77" w:rsidP="007A79EE">
      <w:pPr>
        <w:spacing w:after="0" w:line="240" w:lineRule="auto"/>
      </w:pPr>
      <w:r>
        <w:separator/>
      </w:r>
    </w:p>
  </w:endnote>
  <w:endnote w:type="continuationSeparator" w:id="0">
    <w:p w:rsidR="00F93F77" w:rsidRDefault="00F93F77" w:rsidP="007A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77" w:rsidRDefault="00F93F77" w:rsidP="007A79EE">
      <w:pPr>
        <w:spacing w:after="0" w:line="240" w:lineRule="auto"/>
      </w:pPr>
      <w:r>
        <w:separator/>
      </w:r>
    </w:p>
  </w:footnote>
  <w:footnote w:type="continuationSeparator" w:id="0">
    <w:p w:rsidR="00F93F77" w:rsidRDefault="00F93F77" w:rsidP="007A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4C3"/>
    <w:multiLevelType w:val="hybridMultilevel"/>
    <w:tmpl w:val="5E36A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53D"/>
    <w:rsid w:val="00003F1E"/>
    <w:rsid w:val="00021514"/>
    <w:rsid w:val="0003586C"/>
    <w:rsid w:val="00037870"/>
    <w:rsid w:val="000459EF"/>
    <w:rsid w:val="00065CA0"/>
    <w:rsid w:val="000764D0"/>
    <w:rsid w:val="00080363"/>
    <w:rsid w:val="000B0182"/>
    <w:rsid w:val="000B25D7"/>
    <w:rsid w:val="000E6887"/>
    <w:rsid w:val="00120775"/>
    <w:rsid w:val="00120E05"/>
    <w:rsid w:val="001454F1"/>
    <w:rsid w:val="00156F80"/>
    <w:rsid w:val="0017309C"/>
    <w:rsid w:val="001C27C7"/>
    <w:rsid w:val="001E4667"/>
    <w:rsid w:val="001E7AB1"/>
    <w:rsid w:val="001F7464"/>
    <w:rsid w:val="00206FB2"/>
    <w:rsid w:val="00263B42"/>
    <w:rsid w:val="00274424"/>
    <w:rsid w:val="002830EA"/>
    <w:rsid w:val="002D30B9"/>
    <w:rsid w:val="002F16E3"/>
    <w:rsid w:val="00353D8D"/>
    <w:rsid w:val="00363046"/>
    <w:rsid w:val="003648E6"/>
    <w:rsid w:val="00373FD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0C63"/>
    <w:rsid w:val="00477B59"/>
    <w:rsid w:val="00483010"/>
    <w:rsid w:val="00483ACF"/>
    <w:rsid w:val="004C407C"/>
    <w:rsid w:val="004D45B9"/>
    <w:rsid w:val="004F450A"/>
    <w:rsid w:val="00506F81"/>
    <w:rsid w:val="00517483"/>
    <w:rsid w:val="00524359"/>
    <w:rsid w:val="00524617"/>
    <w:rsid w:val="00537482"/>
    <w:rsid w:val="00544FA2"/>
    <w:rsid w:val="005566F7"/>
    <w:rsid w:val="00567E82"/>
    <w:rsid w:val="00571952"/>
    <w:rsid w:val="005823DE"/>
    <w:rsid w:val="00585545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2744"/>
    <w:rsid w:val="00784E1D"/>
    <w:rsid w:val="00786346"/>
    <w:rsid w:val="007932B8"/>
    <w:rsid w:val="007A3E18"/>
    <w:rsid w:val="007A79EE"/>
    <w:rsid w:val="007B5EA0"/>
    <w:rsid w:val="007E093A"/>
    <w:rsid w:val="007E4F27"/>
    <w:rsid w:val="007F461B"/>
    <w:rsid w:val="007F763B"/>
    <w:rsid w:val="0080798A"/>
    <w:rsid w:val="008204AA"/>
    <w:rsid w:val="00834E83"/>
    <w:rsid w:val="008533AE"/>
    <w:rsid w:val="00855941"/>
    <w:rsid w:val="00875225"/>
    <w:rsid w:val="00885F3D"/>
    <w:rsid w:val="008A527B"/>
    <w:rsid w:val="008B6A61"/>
    <w:rsid w:val="008D34B0"/>
    <w:rsid w:val="008E2F7E"/>
    <w:rsid w:val="00905D82"/>
    <w:rsid w:val="00912C10"/>
    <w:rsid w:val="009132B5"/>
    <w:rsid w:val="0092175B"/>
    <w:rsid w:val="00930368"/>
    <w:rsid w:val="009519EF"/>
    <w:rsid w:val="00970256"/>
    <w:rsid w:val="009840D6"/>
    <w:rsid w:val="00992B31"/>
    <w:rsid w:val="009B0A97"/>
    <w:rsid w:val="009B1FB9"/>
    <w:rsid w:val="009C0452"/>
    <w:rsid w:val="009D21AF"/>
    <w:rsid w:val="009D536D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6233"/>
    <w:rsid w:val="00AA79A2"/>
    <w:rsid w:val="00AC4685"/>
    <w:rsid w:val="00AC734B"/>
    <w:rsid w:val="00AD7151"/>
    <w:rsid w:val="00AF493C"/>
    <w:rsid w:val="00B179DC"/>
    <w:rsid w:val="00B47927"/>
    <w:rsid w:val="00B76455"/>
    <w:rsid w:val="00B83269"/>
    <w:rsid w:val="00B85C7C"/>
    <w:rsid w:val="00BA04A3"/>
    <w:rsid w:val="00BC4070"/>
    <w:rsid w:val="00C07B9F"/>
    <w:rsid w:val="00C37340"/>
    <w:rsid w:val="00C96563"/>
    <w:rsid w:val="00CD053D"/>
    <w:rsid w:val="00CD21B8"/>
    <w:rsid w:val="00CE6909"/>
    <w:rsid w:val="00CF3D42"/>
    <w:rsid w:val="00CF7E53"/>
    <w:rsid w:val="00D04D40"/>
    <w:rsid w:val="00D15CBA"/>
    <w:rsid w:val="00D215BA"/>
    <w:rsid w:val="00D23D05"/>
    <w:rsid w:val="00D53F86"/>
    <w:rsid w:val="00D62903"/>
    <w:rsid w:val="00D94211"/>
    <w:rsid w:val="00D96E53"/>
    <w:rsid w:val="00DA3181"/>
    <w:rsid w:val="00DB0F2D"/>
    <w:rsid w:val="00DB1B56"/>
    <w:rsid w:val="00DC7F55"/>
    <w:rsid w:val="00DE536C"/>
    <w:rsid w:val="00E0374F"/>
    <w:rsid w:val="00E14045"/>
    <w:rsid w:val="00E17407"/>
    <w:rsid w:val="00E22A55"/>
    <w:rsid w:val="00E2670E"/>
    <w:rsid w:val="00E433D7"/>
    <w:rsid w:val="00EE50D5"/>
    <w:rsid w:val="00F00B60"/>
    <w:rsid w:val="00F0745C"/>
    <w:rsid w:val="00F23AE5"/>
    <w:rsid w:val="00F271B0"/>
    <w:rsid w:val="00F93F77"/>
    <w:rsid w:val="00F95604"/>
    <w:rsid w:val="00FA392D"/>
    <w:rsid w:val="00FC3234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A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9EE"/>
  </w:style>
  <w:style w:type="paragraph" w:styleId="Stopka">
    <w:name w:val="footer"/>
    <w:basedOn w:val="Normalny"/>
    <w:link w:val="StopkaZnak"/>
    <w:uiPriority w:val="99"/>
    <w:semiHidden/>
    <w:unhideWhenUsed/>
    <w:rsid w:val="007A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norsam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192</cp:revision>
  <dcterms:created xsi:type="dcterms:W3CDTF">2020-10-25T17:51:00Z</dcterms:created>
  <dcterms:modified xsi:type="dcterms:W3CDTF">2021-01-24T17:10:00Z</dcterms:modified>
</cp:coreProperties>
</file>